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投标人情况表</w:t>
      </w:r>
    </w:p>
    <w:tbl>
      <w:tblPr>
        <w:tblStyle w:val="2"/>
        <w:tblpPr w:leftFromText="180" w:rightFromText="180" w:vertAnchor="text" w:horzAnchor="page" w:tblpX="1452" w:tblpY="599"/>
        <w:tblOverlap w:val="never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856"/>
        <w:gridCol w:w="688"/>
        <w:gridCol w:w="591"/>
        <w:gridCol w:w="675"/>
        <w:gridCol w:w="1499"/>
        <w:gridCol w:w="817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所投标段名称</w:t>
            </w:r>
          </w:p>
        </w:tc>
        <w:tc>
          <w:tcPr>
            <w:tcW w:w="81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公司类型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总部所在地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资质情况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81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联系人姓名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运价水平（元\吨）相似类产品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自有车辆数量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协议车辆数量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分公司或办事处分布情况</w:t>
            </w:r>
          </w:p>
        </w:tc>
        <w:tc>
          <w:tcPr>
            <w:tcW w:w="81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上年度物流方面营业额</w:t>
            </w:r>
          </w:p>
        </w:tc>
        <w:tc>
          <w:tcPr>
            <w:tcW w:w="81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是否涉及电商及分仓分布</w:t>
            </w:r>
          </w:p>
        </w:tc>
        <w:tc>
          <w:tcPr>
            <w:tcW w:w="81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合作经验及服务水平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近五年服务品牌和区域（食品、乳制品、奶粉类）（简述）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是否能提供信息化跟踪查询（简述）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是否有专人负责售后及售后服务机制，客户投诉改进（简述）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是否能够提供货物重大节假日货运保障（简述）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81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spacing w:line="600" w:lineRule="exact"/>
        <w:rPr>
          <w:rFonts w:hint="eastAsia" w:ascii="宋体" w:hAnsi="宋体" w:cs="宋体"/>
          <w:sz w:val="24"/>
        </w:rPr>
      </w:pPr>
      <w:r>
        <w:rPr>
          <w:rFonts w:hint="eastAsia"/>
        </w:rPr>
        <w:t>声明：我公司承诺以上填报的数据资料真实有效无虚假内容，如有不实之处我公司愿意承担由此产生的一切后果。</w:t>
      </w:r>
    </w:p>
    <w:p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2577E"/>
    <w:rsid w:val="2A62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2020-01-17T01:31:00Z</dcterms:created>
  <dc:creator>admin</dc:creator>
  <cp:lastModifiedBy>admin</cp:lastModifiedBy>
  <dcterms:modified xsi:type="dcterms:W3CDTF">2020-01-17T01:32:33Z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