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line="360" w:lineRule="auto"/>
        <w:jc w:val="center"/>
        <w:textAlignment w:val="auto"/>
        <w:rPr>
          <w:rFonts w:hint="eastAsia"/>
          <w:lang w:val="de-DE"/>
        </w:rPr>
      </w:pPr>
      <w:r>
        <w:rPr>
          <w:rFonts w:hint="eastAsia"/>
          <w:b/>
          <w:sz w:val="36"/>
          <w:szCs w:val="36"/>
          <w:lang w:val="de-DE" w:eastAsia="zh-CN"/>
        </w:rPr>
        <w:t>投食店运输服务合同管理规定</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甲方：</w:t>
      </w:r>
      <w:r>
        <w:rPr>
          <w:rFonts w:hint="eastAsia" w:ascii="宋体" w:hAnsi="宋体" w:eastAsia="宋体" w:cs="宋体"/>
          <w:b w:val="0"/>
          <w:i w:val="0"/>
          <w:caps w:val="0"/>
          <w:color w:val="000000"/>
          <w:spacing w:val="0"/>
          <w:sz w:val="24"/>
          <w:szCs w:val="24"/>
          <w:u w:val="single"/>
          <w:lang w:val="en-US" w:eastAsia="zh-CN"/>
        </w:rPr>
        <w:t xml:space="preserve">                        </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乙方：</w:t>
      </w:r>
      <w:r>
        <w:rPr>
          <w:rFonts w:hint="eastAsia" w:ascii="宋体" w:hAnsi="宋体" w:eastAsia="宋体" w:cs="宋体"/>
          <w:b w:val="0"/>
          <w:i w:val="0"/>
          <w:caps w:val="0"/>
          <w:color w:val="000000"/>
          <w:spacing w:val="0"/>
          <w:sz w:val="24"/>
          <w:szCs w:val="24"/>
          <w:u w:val="single"/>
          <w:lang w:val="en-US" w:eastAsia="zh-CN"/>
        </w:rPr>
        <w:t xml:space="preserve">                        </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i w:val="0"/>
          <w:caps w:val="0"/>
          <w:color w:val="000000"/>
          <w:spacing w:val="0"/>
          <w:sz w:val="24"/>
          <w:szCs w:val="24"/>
          <w:lang w:val="de-DE"/>
        </w:rPr>
      </w:pPr>
    </w:p>
    <w:p>
      <w:pPr>
        <w:pageBreakBefore w:val="0"/>
        <w:widowControl w:val="0"/>
        <w:kinsoku/>
        <w:wordWrap/>
        <w:overflowPunct/>
        <w:topLinePunct w:val="0"/>
        <w:autoSpaceDE/>
        <w:autoSpaceDN/>
        <w:bidi w:val="0"/>
        <w:adjustRightInd/>
        <w:snapToGrid/>
        <w:spacing w:line="360" w:lineRule="auto"/>
        <w:ind w:left="479" w:leftChars="228"/>
        <w:textAlignment w:val="auto"/>
        <w:rPr>
          <w:rFonts w:hint="eastAsia" w:ascii="宋体" w:hAnsi="宋体" w:eastAsia="宋体" w:cs="宋体"/>
          <w:sz w:val="24"/>
          <w:szCs w:val="24"/>
          <w:lang w:eastAsia="zh-CN"/>
        </w:rPr>
      </w:pPr>
      <w:r>
        <w:rPr>
          <w:rFonts w:hint="eastAsia" w:ascii="宋体" w:hAnsi="宋体" w:eastAsia="宋体" w:cs="宋体"/>
          <w:sz w:val="24"/>
          <w:szCs w:val="24"/>
        </w:rPr>
        <w:t>为进一步落实甲方与乙方就乙方提供的运输服务质量与评估，特执行本</w:t>
      </w:r>
      <w:r>
        <w:rPr>
          <w:rFonts w:hint="eastAsia" w:ascii="宋体" w:hAnsi="宋体" w:cs="宋体"/>
          <w:sz w:val="24"/>
          <w:szCs w:val="24"/>
          <w:lang w:eastAsia="zh-CN"/>
        </w:rPr>
        <w:t>规定。</w:t>
      </w:r>
    </w:p>
    <w:p>
      <w:pPr>
        <w:pageBreakBefore w:val="0"/>
        <w:widowControl w:val="0"/>
        <w:kinsoku/>
        <w:wordWrap/>
        <w:overflowPunct/>
        <w:topLinePunct w:val="0"/>
        <w:autoSpaceDE/>
        <w:autoSpaceDN/>
        <w:bidi w:val="0"/>
        <w:adjustRightInd/>
        <w:snapToGrid/>
        <w:spacing w:line="360" w:lineRule="auto"/>
        <w:ind w:left="479" w:leftChars="228"/>
        <w:textAlignment w:val="auto"/>
        <w:rPr>
          <w:rFonts w:ascii="宋体" w:hAnsi="宋体" w:eastAsia="宋体" w:cs="宋体"/>
          <w:sz w:val="24"/>
          <w:szCs w:val="24"/>
        </w:rPr>
      </w:pPr>
      <w:r>
        <w:rPr>
          <w:rFonts w:hint="eastAsia" w:ascii="宋体" w:hAnsi="宋体" w:eastAsia="宋体" w:cs="宋体"/>
          <w:sz w:val="24"/>
          <w:szCs w:val="24"/>
        </w:rPr>
        <w:t>一、适应范围：</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1.1</w:t>
      </w:r>
      <w:r>
        <w:rPr>
          <w:rFonts w:hint="eastAsia" w:ascii="宋体" w:hAnsi="宋体" w:cs="宋体"/>
          <w:sz w:val="24"/>
          <w:szCs w:val="24"/>
          <w:lang w:val="en-US" w:eastAsia="zh-CN"/>
        </w:rPr>
        <w:t xml:space="preserve"> </w:t>
      </w:r>
      <w:r>
        <w:rPr>
          <w:rFonts w:hint="eastAsia" w:ascii="宋体" w:hAnsi="宋体" w:eastAsia="宋体" w:cs="宋体"/>
          <w:sz w:val="24"/>
          <w:szCs w:val="24"/>
        </w:rPr>
        <w:t>本文件作为甲乙双方签订的运输服务合同的附件之一，是原合同不可分割的组成部分，与原合同具有同等的法律效力。本文件中所述松鼠为甲方及其子公司、分公司、关联公司等。</w:t>
      </w:r>
      <w:bookmarkStart w:id="0" w:name="_GoBack"/>
      <w:bookmarkEnd w:id="0"/>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1.2</w:t>
      </w:r>
      <w:r>
        <w:rPr>
          <w:rFonts w:hint="eastAsia" w:ascii="宋体" w:hAnsi="宋体" w:cs="宋体"/>
          <w:sz w:val="24"/>
          <w:szCs w:val="24"/>
          <w:lang w:val="en-US" w:eastAsia="zh-CN"/>
        </w:rPr>
        <w:t xml:space="preserve"> </w:t>
      </w:r>
      <w:r>
        <w:rPr>
          <w:rFonts w:hint="eastAsia" w:ascii="宋体" w:hAnsi="宋体" w:eastAsia="宋体" w:cs="宋体"/>
          <w:sz w:val="24"/>
          <w:szCs w:val="24"/>
        </w:rPr>
        <w:t>本</w:t>
      </w:r>
      <w:r>
        <w:rPr>
          <w:rFonts w:hint="eastAsia" w:ascii="宋体" w:hAnsi="宋体" w:cs="宋体"/>
          <w:sz w:val="24"/>
          <w:szCs w:val="24"/>
          <w:lang w:eastAsia="zh-CN"/>
        </w:rPr>
        <w:t>文件</w:t>
      </w:r>
      <w:r>
        <w:rPr>
          <w:rFonts w:hint="eastAsia" w:ascii="宋体" w:hAnsi="宋体" w:eastAsia="宋体" w:cs="宋体"/>
          <w:sz w:val="24"/>
          <w:szCs w:val="24"/>
        </w:rPr>
        <w:t>由甲方与乙方协商制定，系甲乙双方真实意思表示，自甲乙双方盖章后生效。</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二、运输考核指标及考核占比：</w:t>
      </w:r>
    </w:p>
    <w:tbl>
      <w:tblPr>
        <w:tblStyle w:val="9"/>
        <w:tblW w:w="8296"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2765"/>
        <w:gridCol w:w="2765"/>
        <w:gridCol w:w="2766"/>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03" w:hRule="atLeast"/>
        </w:trPr>
        <w:tc>
          <w:tcPr>
            <w:tcW w:w="2765" w:type="dxa"/>
          </w:tcPr>
          <w:p>
            <w:pPr>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kern w:val="0"/>
                <w:sz w:val="24"/>
                <w:szCs w:val="24"/>
              </w:rPr>
            </w:pPr>
            <w:r>
              <w:rPr>
                <w:rFonts w:hint="eastAsia" w:ascii="宋体" w:hAnsi="宋体" w:eastAsia="宋体" w:cs="宋体"/>
                <w:kern w:val="0"/>
                <w:sz w:val="24"/>
                <w:szCs w:val="24"/>
              </w:rPr>
              <w:t>项目标准</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指标</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得分占比（总分100分）</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运输货损率</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0.01%</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20%</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运输准确率</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100%</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信息反馈准确、及时率</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100%</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10%</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提货及时率</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99%</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20%</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运输时效</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98%</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25%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更换车型、混装率</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1%</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现场作业</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90分</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10%</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签单返回率</w:t>
            </w:r>
          </w:p>
        </w:tc>
        <w:tc>
          <w:tcPr>
            <w:tcW w:w="2765"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100%</w:t>
            </w:r>
          </w:p>
        </w:tc>
        <w:tc>
          <w:tcPr>
            <w:tcW w:w="2766" w:type="dxa"/>
          </w:tcPr>
          <w:p>
            <w:pPr>
              <w:pStyle w:val="7"/>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kern w:val="0"/>
                <w:sz w:val="24"/>
                <w:szCs w:val="24"/>
              </w:rPr>
            </w:pPr>
            <w:r>
              <w:rPr>
                <w:rFonts w:hint="eastAsia" w:ascii="宋体" w:hAnsi="宋体" w:eastAsia="宋体" w:cs="宋体"/>
                <w:kern w:val="0"/>
                <w:sz w:val="24"/>
                <w:szCs w:val="24"/>
              </w:rPr>
              <w:t>5%</w:t>
            </w:r>
          </w:p>
        </w:tc>
      </w:tr>
    </w:tbl>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三、定义</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运输货损率：乙方承运的货物由于乙方原因造成的货物不符合收货标准或订单数量与乙方承运的全部件数或订单数量的占比；</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运输准确率：预防按照甲方运输单据中的信息，将甲方托运货物准确送达甲方指定地址的运单数占甲方全部托运单数的比率；</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信息反馈准确、及时率：乙方按照甲方要求每日准时发送准确的车辆运输信息与实际运输车辆信息的比率；</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提货准时率：乙方按照甲方要求安排车辆准时到达甲方要求地点提货频次与乙方全部提货频次的比率；</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运输时效：乙方按照合同规定的承诺时间或甲方运输单据中指定的时间内，将甲方托运货物准时送达甲方指定地址的车次占甲方全部托运车次的比率；</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现场作业：乙方在甲方指定作业场所进行作业，必须按照甲方要求的现场作业规范进行作业；</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更换车型、混装：乙方实际安排车型与甲方计划车型不符车次、中途私自换车车次以及乙方私自一单多车装车，整车外带非甲方产品车次占甲方全部总车次的比率；</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签单返货率：乙方在结算周期内，约定时间内准时返回甲方的签收单数与结算周期内甲方委托乙方运输的全部运单数的比率。</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四、现场作业规范</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执行甲方</w:t>
      </w:r>
      <w:r>
        <w:rPr>
          <w:rFonts w:hint="eastAsia" w:ascii="宋体" w:hAnsi="宋体" w:eastAsia="宋体" w:cs="宋体"/>
          <w:sz w:val="24"/>
          <w:szCs w:val="24"/>
        </w:rPr>
        <w:t>现场管理规定</w:t>
      </w:r>
      <w:r>
        <w:rPr>
          <w:rFonts w:hint="eastAsia" w:ascii="宋体" w:hAnsi="宋体" w:cs="宋体"/>
          <w:sz w:val="24"/>
          <w:szCs w:val="24"/>
          <w:lang w:eastAsia="zh-CN"/>
        </w:rPr>
        <w:t>。</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五、如存在以下情形之一，甲方有权作出限期14天改正的决定，若14天内未改，甲方有权单方面解除合同：</w:t>
      </w:r>
    </w:p>
    <w:p>
      <w:pPr>
        <w:pStyle w:val="7"/>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连续3周运输考核指标未达到90分；</w:t>
      </w:r>
    </w:p>
    <w:p>
      <w:pPr>
        <w:pStyle w:val="7"/>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连续3周运输考核排名最后一名的</w:t>
      </w:r>
      <w:r>
        <w:rPr>
          <w:rFonts w:hint="eastAsia" w:ascii="宋体" w:hAnsi="宋体" w:eastAsia="宋体" w:cs="宋体"/>
          <w:sz w:val="24"/>
          <w:szCs w:val="24"/>
          <w:lang w:eastAsia="zh-CN"/>
        </w:rPr>
        <w:t>；</w:t>
      </w:r>
    </w:p>
    <w:p>
      <w:pPr>
        <w:pStyle w:val="7"/>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谎报任何装载货物车辆的信息；</w:t>
      </w:r>
    </w:p>
    <w:p>
      <w:pPr>
        <w:pStyle w:val="7"/>
        <w:pageBreakBefore w:val="0"/>
        <w:widowControl w:val="0"/>
        <w:numPr>
          <w:ilvl w:val="0"/>
          <w:numId w:val="1"/>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超过三次不参与装、卸货服务。</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六、以下情形之一，属于严重违约，甲方可以直接单方面解除合同、视情节严重情况对乙方进行处罚，并要求乙方赔偿全部损失：</w:t>
      </w:r>
    </w:p>
    <w:p>
      <w:pPr>
        <w:pStyle w:val="7"/>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乙方员工、合作伙伴偷盗、偷吃、侵占所运输的货物；</w:t>
      </w:r>
    </w:p>
    <w:p>
      <w:pPr>
        <w:pStyle w:val="7"/>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乙方员工、合作伙伴在操作区域内辱骂、斗殴甲方员工、甲方其他合作伙伴或对甲方的查询协调工作不配合的；</w:t>
      </w:r>
    </w:p>
    <w:p>
      <w:pPr>
        <w:pStyle w:val="7"/>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乙方员工、合作伙伴在操作区域内有违反安全作业规范或行为的；</w:t>
      </w:r>
    </w:p>
    <w:p>
      <w:pPr>
        <w:pStyle w:val="7"/>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乙方员工、合作伙伴发生任何不廉政行为或事件；</w:t>
      </w:r>
    </w:p>
    <w:p>
      <w:pPr>
        <w:pStyle w:val="7"/>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乙方员工、合作伙伴不得在任何场合与甲方人员讨论薪资问题；</w:t>
      </w:r>
    </w:p>
    <w:p>
      <w:pPr>
        <w:pStyle w:val="7"/>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因乙方原因导致甲方无法正常开展业务的（如，拖欠运费导致司机不卸货等）；</w:t>
      </w:r>
    </w:p>
    <w:p>
      <w:pPr>
        <w:pStyle w:val="7"/>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严重违反合同及合同附件内容的。</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七、其他投诉规定：对其他原因造成的投诉，根据其严重程度参照以上两类投诉进行处罚。</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八、提货不及时处罚规定</w:t>
      </w:r>
    </w:p>
    <w:p>
      <w:pPr>
        <w:pStyle w:val="7"/>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未按照双方规定的时间和地点配车发运的，乙方应向甲方支付违约金人民币1000元/小时，超过三小时仍未配车发运的甲方有权调用其他运输资源满足业务需求，因调动车辆资源产生的运费差额在乙方当月运费中扣除，每次支付违约金5000元；</w:t>
      </w:r>
    </w:p>
    <w:p>
      <w:pPr>
        <w:pStyle w:val="7"/>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乙方出现三次及三次以上未按照双方规定的时间和地点配车发运的，甲方有权立即终止合同，启动其他运输资源，乙方需对甲方产生损失进行赔偿</w:t>
      </w:r>
    </w:p>
    <w:p>
      <w:pPr>
        <w:pStyle w:val="7"/>
        <w:pageBreakBefore w:val="0"/>
        <w:widowControl w:val="0"/>
        <w:numPr>
          <w:ilvl w:val="0"/>
          <w:numId w:val="3"/>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乙方在提货时必须提前按照要求进行预约月台和时间段，乙方的所有车辆和人员需根据预约时间至少提前10分钟到达现场进行准备工作，车辆和人员超过预约时间20分钟未到仓的按照无车处罚。</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九、未按照运输时效到货处罚规定：</w:t>
      </w:r>
    </w:p>
    <w:p>
      <w:pPr>
        <w:pStyle w:val="7"/>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对因到货延迟经核实情况属实的，以车次（安排运输车次）为单位进行考核、处罚</w:t>
      </w:r>
      <w:r>
        <w:rPr>
          <w:rFonts w:hint="eastAsia" w:ascii="宋体" w:hAnsi="宋体" w:cs="宋体"/>
          <w:sz w:val="24"/>
          <w:szCs w:val="24"/>
          <w:lang w:eastAsia="zh-CN"/>
        </w:rPr>
        <w:t>。</w:t>
      </w:r>
    </w:p>
    <w:p>
      <w:pPr>
        <w:pageBreakBefore w:val="0"/>
        <w:widowControl w:val="0"/>
        <w:numPr>
          <w:ilvl w:val="0"/>
          <w:numId w:val="4"/>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hint="eastAsia" w:ascii="宋体" w:hAnsi="宋体" w:eastAsia="宋体" w:cs="宋体"/>
          <w:sz w:val="24"/>
          <w:szCs w:val="24"/>
        </w:rPr>
        <w:t>由于地震、台风、水灾、雨雪、大雾、政府因素及战争等致使直接影响本合同的履行或者不能按约定的条件履行时，遇有上述不可抗力的一方应立即以书面形式通知对方，并应提供不可抗力详情及合同不能履行、部分不能履行或者需要延期履行理由的有效证明文件，经甲方认可后，相关延迟可以免处罚；若乙方未提前发来预警，因此产生的到货延迟计入处罚</w:t>
      </w:r>
      <w:r>
        <w:rPr>
          <w:rFonts w:hint="eastAsia" w:ascii="宋体" w:hAnsi="宋体" w:cs="宋体"/>
          <w:sz w:val="24"/>
          <w:szCs w:val="24"/>
          <w:lang w:eastAsia="zh-CN"/>
        </w:rPr>
        <w:t>。</w:t>
      </w:r>
    </w:p>
    <w:p>
      <w:pPr>
        <w:pStyle w:val="7"/>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提货之日起，超出应到时间1天无明确结果（到货点签收）的订单，视为遗失，由乙方全额赔偿</w:t>
      </w:r>
      <w:r>
        <w:rPr>
          <w:rFonts w:hint="eastAsia" w:ascii="宋体" w:hAnsi="宋体" w:cs="宋体"/>
          <w:sz w:val="24"/>
          <w:szCs w:val="24"/>
          <w:lang w:eastAsia="zh-CN"/>
        </w:rPr>
        <w:t>。</w:t>
      </w:r>
    </w:p>
    <w:p>
      <w:pPr>
        <w:pStyle w:val="7"/>
        <w:pageBreakBefore w:val="0"/>
        <w:widowControl w:val="0"/>
        <w:numPr>
          <w:ilvl w:val="0"/>
          <w:numId w:val="4"/>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延迟到货处罚标准</w:t>
      </w:r>
    </w:p>
    <w:p>
      <w:pPr>
        <w:pStyle w:val="7"/>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sz w:val="24"/>
          <w:szCs w:val="24"/>
        </w:rPr>
      </w:pPr>
      <w:r>
        <w:rPr>
          <w:rFonts w:hint="eastAsia" w:ascii="宋体" w:hAnsi="宋体" w:eastAsia="宋体" w:cs="宋体"/>
          <w:sz w:val="24"/>
          <w:szCs w:val="24"/>
        </w:rPr>
        <w:t>1)延迟到货两小时内，支付违约金500元；</w:t>
      </w:r>
    </w:p>
    <w:p>
      <w:pPr>
        <w:pStyle w:val="7"/>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sz w:val="24"/>
          <w:szCs w:val="24"/>
        </w:rPr>
      </w:pPr>
      <w:r>
        <w:rPr>
          <w:rFonts w:hint="eastAsia" w:ascii="宋体" w:hAnsi="宋体" w:eastAsia="宋体" w:cs="宋体"/>
          <w:sz w:val="24"/>
          <w:szCs w:val="24"/>
        </w:rPr>
        <w:t>2)延迟到货六小时内，支付违约金500元，并免除此单运费的10%；</w:t>
      </w:r>
    </w:p>
    <w:p>
      <w:pPr>
        <w:pStyle w:val="7"/>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sz w:val="24"/>
          <w:szCs w:val="24"/>
        </w:rPr>
      </w:pPr>
      <w:r>
        <w:rPr>
          <w:rFonts w:hint="eastAsia" w:ascii="宋体" w:hAnsi="宋体" w:eastAsia="宋体" w:cs="宋体"/>
          <w:sz w:val="24"/>
          <w:szCs w:val="24"/>
        </w:rPr>
        <w:t>3)延迟到货十二小时内的，支付违约金500元，并免除此单运费的15%；</w:t>
      </w:r>
    </w:p>
    <w:p>
      <w:pPr>
        <w:pStyle w:val="7"/>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sz w:val="24"/>
          <w:szCs w:val="24"/>
        </w:rPr>
      </w:pPr>
      <w:r>
        <w:rPr>
          <w:rFonts w:hint="eastAsia" w:ascii="宋体" w:hAnsi="宋体" w:eastAsia="宋体" w:cs="宋体"/>
          <w:sz w:val="24"/>
          <w:szCs w:val="24"/>
        </w:rPr>
        <w:t>4)延迟到货十二小时以上的，支付违约金1000元，并免除此单运费的30%，同时，甲方保留单方面停止发货，终止合同的权利。</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十、信息反馈虚假规定：对于运输信息的反馈，松鼠要求真实、准时、准确。运输商需在发车2小时前发送运输司机信息到指定群组或者人员（司机姓名、联系方式、车型、车牌等）。如果在核查中，发现有反馈不真实信息，甚至恶意虚假反馈运输信息的，按车次处罚。</w:t>
      </w:r>
    </w:p>
    <w:p>
      <w:pPr>
        <w:pStyle w:val="7"/>
        <w:pageBreakBefore w:val="0"/>
        <w:widowControl w:val="0"/>
        <w:numPr>
          <w:ilvl w:val="0"/>
          <w:numId w:val="5"/>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第一次支付违约金200元，并跟据甲方因乙方错误信息产生损失进行赔偿；</w:t>
      </w:r>
    </w:p>
    <w:p>
      <w:pPr>
        <w:pStyle w:val="7"/>
        <w:pageBreakBefore w:val="0"/>
        <w:widowControl w:val="0"/>
        <w:numPr>
          <w:ilvl w:val="0"/>
          <w:numId w:val="5"/>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第二次支付违约金500元，并跟据甲方因乙方错误信息产生损失进行赔偿；</w:t>
      </w:r>
    </w:p>
    <w:p>
      <w:pPr>
        <w:pStyle w:val="7"/>
        <w:pageBreakBefore w:val="0"/>
        <w:widowControl w:val="0"/>
        <w:numPr>
          <w:ilvl w:val="0"/>
          <w:numId w:val="5"/>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第三次支付违约金1000元，并跟据甲方因乙方错误信息产生损失进行赔偿；</w:t>
      </w:r>
    </w:p>
    <w:p>
      <w:pPr>
        <w:pStyle w:val="7"/>
        <w:pageBreakBefore w:val="0"/>
        <w:widowControl w:val="0"/>
        <w:numPr>
          <w:ilvl w:val="0"/>
          <w:numId w:val="5"/>
        </w:numPr>
        <w:kinsoku/>
        <w:wordWrap/>
        <w:overflowPunct/>
        <w:topLinePunct w:val="0"/>
        <w:autoSpaceDE/>
        <w:autoSpaceDN/>
        <w:bidi w:val="0"/>
        <w:adjustRightInd/>
        <w:snapToGrid/>
        <w:spacing w:line="360" w:lineRule="auto"/>
        <w:ind w:firstLineChars="0"/>
        <w:textAlignment w:val="auto"/>
        <w:rPr>
          <w:rFonts w:ascii="宋体" w:hAnsi="宋体" w:eastAsia="宋体" w:cs="宋体"/>
          <w:sz w:val="24"/>
          <w:szCs w:val="24"/>
        </w:rPr>
      </w:pPr>
      <w:r>
        <w:rPr>
          <w:rFonts w:hint="eastAsia" w:ascii="宋体" w:hAnsi="宋体" w:eastAsia="宋体" w:cs="宋体"/>
          <w:sz w:val="24"/>
          <w:szCs w:val="24"/>
        </w:rPr>
        <w:t>三次以上，每车次支付违约金2000元，同时，甲方保留单方面停止发货，终止合同的权利。</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十一、装车、卸车效率标准及处罚规定：</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lang w:eastAsia="zh-CN"/>
        </w:rPr>
      </w:pPr>
      <w:r>
        <w:rPr>
          <w:rFonts w:hint="eastAsia" w:ascii="宋体" w:hAnsi="宋体" w:eastAsia="宋体" w:cs="宋体"/>
          <w:sz w:val="24"/>
          <w:szCs w:val="24"/>
        </w:rPr>
        <w:t>11.1所有装车、卸货时间必须满足乙方要求，对装车、卸车延迟时间的，以车次（安排运输车次）为单位进行考核、处罚</w:t>
      </w:r>
      <w:r>
        <w:rPr>
          <w:rFonts w:hint="eastAsia" w:ascii="宋体" w:hAnsi="宋体" w:cs="宋体"/>
          <w:sz w:val="24"/>
          <w:szCs w:val="24"/>
          <w:lang w:eastAsia="zh-CN"/>
        </w:rPr>
        <w:t>。</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lang w:eastAsia="zh-CN"/>
        </w:rPr>
      </w:pPr>
      <w:r>
        <w:rPr>
          <w:rFonts w:hint="eastAsia" w:ascii="宋体" w:hAnsi="宋体" w:eastAsia="宋体" w:cs="宋体"/>
          <w:sz w:val="24"/>
          <w:szCs w:val="24"/>
        </w:rPr>
        <w:t>11.2由于甲方SKU数量较多、天气原因导致的装车、卸车情况由甲方确认后，相关延迟可以免处罚</w:t>
      </w:r>
      <w:r>
        <w:rPr>
          <w:rFonts w:hint="eastAsia" w:ascii="宋体" w:hAnsi="宋体" w:cs="宋体"/>
          <w:sz w:val="24"/>
          <w:szCs w:val="24"/>
          <w:lang w:eastAsia="zh-CN"/>
        </w:rPr>
        <w:t>。</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11.3装车时效标准：装车标准为20箱/分钟。</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11.4卸车时效标准：</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1）17.5米卸货时间为3.5小时；</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2）13.5米卸货时间为2.5小时；</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3）9.6米卸货时间为2小时；</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4）7.6米、6.8米卸货时间为1.5小时；</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5）4.2米卸货时间为1小时；</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6）零担卸货时间不得超过1小时。</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11.5装车、卸车超时处罚标准（以车次为准）：</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1）乙方必须满足甲方要求的装、卸车业务，未参与卸货业务每次每车支付违约金2000元，超过三次未参与卸货服务，甲方有权利单方面解除合同，并有权要求乙方支付20000元的违约金；</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2)超过0.5小时未完成（装车时间以每车总箱数/装车标准为准），并有权要求乙方支付200元违约金；</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3)超过1小时未完成（装车时间以每车总箱数/装车标准为准），并有权要求乙方支付400元违约金；</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4)超过1小时以上未完成（装车时间以每车总箱数/装车标准为准），并有权要求乙方支付500元违约金。</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5)签单返回率标准：</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1.回单必须有三方签字即发货仓、承运方、到货仓签字，如产生到货交货时货物可能产生的丢失、破损、雨淋、污染等情况，应由乙方与收货方在回单上进行签字确认；</w:t>
      </w:r>
    </w:p>
    <w:p>
      <w:pPr>
        <w:pStyle w:val="7"/>
        <w:pageBreakBefore w:val="0"/>
        <w:widowControl w:val="0"/>
        <w:kinsoku/>
        <w:wordWrap/>
        <w:overflowPunct/>
        <w:topLinePunct w:val="0"/>
        <w:autoSpaceDE/>
        <w:autoSpaceDN/>
        <w:bidi w:val="0"/>
        <w:adjustRightInd/>
        <w:snapToGrid/>
        <w:spacing w:line="360" w:lineRule="auto"/>
        <w:ind w:left="420" w:firstLine="0" w:firstLineChars="0"/>
        <w:textAlignment w:val="auto"/>
        <w:rPr>
          <w:rFonts w:ascii="宋体" w:hAnsi="宋体" w:eastAsia="宋体" w:cs="宋体"/>
          <w:sz w:val="24"/>
          <w:szCs w:val="24"/>
        </w:rPr>
      </w:pPr>
      <w:r>
        <w:rPr>
          <w:rFonts w:hint="eastAsia" w:ascii="宋体" w:hAnsi="宋体" w:eastAsia="宋体" w:cs="宋体"/>
          <w:sz w:val="24"/>
          <w:szCs w:val="24"/>
        </w:rPr>
        <w:t>2.当月费用次月结算，乙方需在每月8号前提供上月度签收回单以及对账明细；</w:t>
      </w:r>
    </w:p>
    <w:p>
      <w:pPr>
        <w:pStyle w:val="7"/>
        <w:pageBreakBefore w:val="0"/>
        <w:widowControl w:val="0"/>
        <w:kinsoku/>
        <w:wordWrap/>
        <w:overflowPunct/>
        <w:topLinePunct w:val="0"/>
        <w:autoSpaceDE/>
        <w:autoSpaceDN/>
        <w:bidi w:val="0"/>
        <w:adjustRightInd/>
        <w:snapToGrid/>
        <w:spacing w:line="360" w:lineRule="auto"/>
        <w:ind w:left="420" w:firstLine="0" w:firstLineChars="0"/>
        <w:textAlignment w:val="auto"/>
        <w:rPr>
          <w:rFonts w:ascii="宋体" w:hAnsi="宋体" w:eastAsia="宋体" w:cs="宋体"/>
          <w:sz w:val="24"/>
          <w:szCs w:val="24"/>
        </w:rPr>
      </w:pPr>
      <w:r>
        <w:rPr>
          <w:rFonts w:hint="eastAsia" w:ascii="宋体" w:hAnsi="宋体" w:eastAsia="宋体" w:cs="宋体"/>
          <w:sz w:val="24"/>
          <w:szCs w:val="24"/>
        </w:rPr>
        <w:t>3. 由于乙方原因导致甲方逾期支付运费的，甲方免责。</w:t>
      </w:r>
    </w:p>
    <w:p>
      <w:pPr>
        <w:pStyle w:val="7"/>
        <w:pageBreakBefore w:val="0"/>
        <w:widowControl w:val="0"/>
        <w:kinsoku/>
        <w:wordWrap/>
        <w:overflowPunct/>
        <w:topLinePunct w:val="0"/>
        <w:autoSpaceDE/>
        <w:autoSpaceDN/>
        <w:bidi w:val="0"/>
        <w:adjustRightInd/>
        <w:snapToGrid/>
        <w:spacing w:line="360" w:lineRule="auto"/>
        <w:ind w:left="420" w:firstLine="0" w:firstLineChars="0"/>
        <w:textAlignment w:val="auto"/>
        <w:rPr>
          <w:rFonts w:ascii="宋体" w:hAnsi="宋体" w:eastAsia="宋体" w:cs="宋体"/>
          <w:sz w:val="24"/>
          <w:szCs w:val="24"/>
        </w:rPr>
      </w:pPr>
      <w:r>
        <w:rPr>
          <w:rFonts w:hint="eastAsia" w:ascii="宋体" w:hAnsi="宋体" w:eastAsia="宋体" w:cs="宋体"/>
          <w:sz w:val="24"/>
          <w:szCs w:val="24"/>
        </w:rPr>
        <w:t>4、若乙方未按时提供回单，甲方有权要求乙方每单支付500元违约金。</w:t>
      </w:r>
    </w:p>
    <w:p>
      <w:pPr>
        <w:pStyle w:val="7"/>
        <w:pageBreakBefore w:val="0"/>
        <w:widowControl w:val="0"/>
        <w:kinsoku/>
        <w:wordWrap/>
        <w:overflowPunct/>
        <w:topLinePunct w:val="0"/>
        <w:autoSpaceDE/>
        <w:autoSpaceDN/>
        <w:bidi w:val="0"/>
        <w:adjustRightInd/>
        <w:snapToGrid/>
        <w:spacing w:line="360" w:lineRule="auto"/>
        <w:ind w:left="420" w:firstLine="0" w:firstLineChars="0"/>
        <w:textAlignment w:val="auto"/>
        <w:rPr>
          <w:rFonts w:ascii="宋体" w:hAnsi="宋体" w:eastAsia="宋体" w:cs="宋体"/>
          <w:sz w:val="24"/>
          <w:szCs w:val="24"/>
        </w:rPr>
      </w:pPr>
      <w:r>
        <w:rPr>
          <w:rFonts w:hint="eastAsia" w:ascii="宋体" w:hAnsi="宋体" w:eastAsia="宋体" w:cs="宋体"/>
          <w:sz w:val="24"/>
          <w:szCs w:val="24"/>
        </w:rPr>
        <w:t>5、所有运输费用的结算，以运输完结后三方（发货仓、收货仓、乙方）签字齐全的纸质调拨单为准，若乙方未提供全部的三方签字完成的纸质版调拨单，甲方有权拒绝支付无纸质版调拨单的运输费用，并不承担任何责任。</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十二、车型不符、混装标准：</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lang w:eastAsia="zh-CN"/>
        </w:rPr>
      </w:pPr>
      <w:r>
        <w:rPr>
          <w:rFonts w:hint="eastAsia" w:ascii="宋体" w:hAnsi="宋体" w:eastAsia="宋体" w:cs="宋体"/>
          <w:sz w:val="24"/>
          <w:szCs w:val="24"/>
        </w:rPr>
        <w:t>12.1</w:t>
      </w:r>
      <w:r>
        <w:rPr>
          <w:rFonts w:hint="eastAsia" w:ascii="宋体" w:hAnsi="宋体" w:cs="宋体"/>
          <w:sz w:val="24"/>
          <w:szCs w:val="24"/>
          <w:lang w:val="en-US" w:eastAsia="zh-CN"/>
        </w:rPr>
        <w:t xml:space="preserve"> </w:t>
      </w:r>
      <w:r>
        <w:rPr>
          <w:rFonts w:hint="eastAsia" w:ascii="宋体" w:hAnsi="宋体" w:eastAsia="宋体" w:cs="宋体"/>
          <w:sz w:val="24"/>
          <w:szCs w:val="24"/>
        </w:rPr>
        <w:t>为保证甲方托运产品的安全，乙方必须按照甲方给出的车辆车型进行安排车辆，不得出现计划车型与实际车型不符的情况。运输过程中整车计划不得出现甲方产品与非甲方产品同车运输，且不得出现一个交接单多车运输情况，如出现乙方私自更换车型、混装情况，甲方有权要求乙方每车支付5000元违约金，出现三次及以上除对乙方进行规定处罚外甲方保留单方面停止发货，终止合同的权利</w:t>
      </w:r>
      <w:r>
        <w:rPr>
          <w:rFonts w:hint="eastAsia" w:ascii="宋体" w:hAnsi="宋体" w:cs="宋体"/>
          <w:sz w:val="24"/>
          <w:szCs w:val="24"/>
          <w:lang w:eastAsia="zh-CN"/>
        </w:rPr>
        <w:t>。</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lang w:eastAsia="zh-CN"/>
        </w:rPr>
      </w:pPr>
      <w:r>
        <w:rPr>
          <w:rFonts w:hint="eastAsia" w:ascii="宋体" w:hAnsi="宋体" w:eastAsia="宋体" w:cs="宋体"/>
          <w:sz w:val="24"/>
          <w:szCs w:val="24"/>
        </w:rPr>
        <w:t>12.2</w:t>
      </w:r>
      <w:r>
        <w:rPr>
          <w:rFonts w:hint="eastAsia" w:ascii="宋体" w:hAnsi="宋体" w:cs="宋体"/>
          <w:sz w:val="24"/>
          <w:szCs w:val="24"/>
          <w:lang w:val="en-US" w:eastAsia="zh-CN"/>
        </w:rPr>
        <w:t xml:space="preserve"> </w:t>
      </w:r>
      <w:r>
        <w:rPr>
          <w:rFonts w:hint="eastAsia" w:ascii="宋体" w:hAnsi="宋体" w:eastAsia="宋体" w:cs="宋体"/>
          <w:sz w:val="24"/>
          <w:szCs w:val="24"/>
        </w:rPr>
        <w:t>如出现车辆资源紧缺情况，乙方需提前向甲方进行报备，甲方同意后方可进行运输，且不得出现计划大车型，实际安排小车型情况</w:t>
      </w:r>
      <w:r>
        <w:rPr>
          <w:rFonts w:hint="eastAsia" w:ascii="宋体" w:hAnsi="宋体" w:cs="宋体"/>
          <w:sz w:val="24"/>
          <w:szCs w:val="24"/>
          <w:lang w:eastAsia="zh-CN"/>
        </w:rPr>
        <w:t>。</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12.3</w:t>
      </w:r>
      <w:r>
        <w:rPr>
          <w:rFonts w:hint="eastAsia" w:ascii="宋体" w:hAnsi="宋体" w:cs="宋体"/>
          <w:sz w:val="24"/>
          <w:szCs w:val="24"/>
          <w:lang w:val="en-US" w:eastAsia="zh-CN"/>
        </w:rPr>
        <w:t xml:space="preserve"> </w:t>
      </w:r>
      <w:r>
        <w:rPr>
          <w:rFonts w:hint="eastAsia" w:ascii="宋体" w:hAnsi="宋体" w:eastAsia="宋体" w:cs="宋体"/>
          <w:sz w:val="24"/>
          <w:szCs w:val="24"/>
        </w:rPr>
        <w:t>报备后更换车型率不得超过1%，超出1%甲方有权要求乙方每车支付200元违约金。</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十三、周指标的计算以当周发货车次和甲方反馈的投诉情况为准，月度指标的计算以当月有效签收单据和甲方反馈的投诉情况为准。</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ascii="宋体" w:hAnsi="宋体" w:eastAsia="宋体" w:cs="宋体"/>
          <w:sz w:val="24"/>
          <w:szCs w:val="24"/>
        </w:rPr>
      </w:pPr>
      <w:r>
        <w:rPr>
          <w:rFonts w:hint="eastAsia" w:ascii="宋体" w:hAnsi="宋体" w:eastAsia="宋体" w:cs="宋体"/>
          <w:sz w:val="24"/>
          <w:szCs w:val="24"/>
        </w:rPr>
        <w:t>十四、乙方承诺，遵守该规范的有关规定，违反该规范，按协议的约定承担责任。</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sz w:val="24"/>
          <w:szCs w:val="24"/>
          <w:lang w:eastAsia="zh-CN"/>
        </w:rPr>
      </w:pPr>
      <w:r>
        <w:rPr>
          <w:rFonts w:hint="eastAsia" w:ascii="宋体" w:hAnsi="宋体" w:eastAsia="宋体" w:cs="宋体"/>
          <w:sz w:val="24"/>
          <w:szCs w:val="24"/>
        </w:rPr>
        <w:t>十五、因自然灾害、政治活动、社会异常事件等不可抗力因素乙方应提前预警经认可后不计入考核与处罚规定，若未提前预警除特殊情况无法发出预警的计入考核与处罚</w:t>
      </w:r>
      <w:r>
        <w:rPr>
          <w:rFonts w:hint="eastAsia" w:ascii="宋体" w:hAnsi="宋体" w:cs="宋体"/>
          <w:sz w:val="24"/>
          <w:szCs w:val="24"/>
          <w:lang w:eastAsia="zh-CN"/>
        </w:rPr>
        <w:t>。</w:t>
      </w:r>
    </w:p>
    <w:p>
      <w:pPr>
        <w:pStyle w:val="7"/>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sz w:val="24"/>
          <w:szCs w:val="24"/>
          <w:lang w:eastAsia="zh-CN"/>
        </w:rPr>
      </w:pP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r>
        <w:rPr>
          <w:rFonts w:hint="eastAsia" w:ascii="宋体" w:hAnsi="宋体" w:eastAsia="宋体" w:cs="宋体"/>
          <w:b w:val="0"/>
          <w:i w:val="0"/>
          <w:caps w:val="0"/>
          <w:color w:val="000000"/>
          <w:spacing w:val="0"/>
          <w:sz w:val="24"/>
          <w:szCs w:val="24"/>
          <w:lang w:val="de-DE" w:eastAsia="zh-CN"/>
        </w:rPr>
        <w:t>（以下为合同签章页）</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甲方（</w:t>
      </w:r>
      <w:r>
        <w:rPr>
          <w:rFonts w:hint="eastAsia" w:ascii="宋体" w:hAnsi="宋体" w:eastAsia="宋体" w:cs="宋体"/>
          <w:b w:val="0"/>
          <w:i w:val="0"/>
          <w:caps w:val="0"/>
          <w:color w:val="000000"/>
          <w:spacing w:val="0"/>
          <w:sz w:val="24"/>
          <w:szCs w:val="24"/>
          <w:lang w:val="de-DE" w:eastAsia="zh-CN"/>
        </w:rPr>
        <w:t>盖</w:t>
      </w:r>
      <w:r>
        <w:rPr>
          <w:rFonts w:hint="eastAsia" w:ascii="宋体" w:hAnsi="宋体" w:eastAsia="宋体" w:cs="宋体"/>
          <w:b w:val="0"/>
          <w:i w:val="0"/>
          <w:caps w:val="0"/>
          <w:color w:val="000000"/>
          <w:spacing w:val="0"/>
          <w:sz w:val="24"/>
          <w:szCs w:val="24"/>
          <w:lang w:val="de-DE"/>
        </w:rPr>
        <w:t xml:space="preserve">章）：   </w:t>
      </w:r>
      <w:r>
        <w:rPr>
          <w:rFonts w:hint="eastAsia" w:ascii="宋体" w:hAnsi="宋体" w:eastAsia="宋体" w:cs="宋体"/>
          <w:b w:val="0"/>
          <w:i w:val="0"/>
          <w:caps w:val="0"/>
          <w:color w:val="000000"/>
          <w:spacing w:val="0"/>
          <w:sz w:val="24"/>
          <w:szCs w:val="24"/>
          <w:lang w:val="en-US" w:eastAsia="zh-CN"/>
        </w:rPr>
        <w:t xml:space="preserve">                  </w:t>
      </w:r>
      <w:r>
        <w:rPr>
          <w:rFonts w:hint="eastAsia" w:ascii="宋体" w:hAnsi="宋体" w:eastAsia="宋体" w:cs="宋体"/>
          <w:b w:val="0"/>
          <w:i w:val="0"/>
          <w:caps w:val="0"/>
          <w:color w:val="000000"/>
          <w:spacing w:val="0"/>
          <w:sz w:val="24"/>
          <w:szCs w:val="24"/>
          <w:lang w:val="de-DE"/>
        </w:rPr>
        <w:t>乙方（</w:t>
      </w:r>
      <w:r>
        <w:rPr>
          <w:rFonts w:hint="eastAsia" w:ascii="宋体" w:hAnsi="宋体" w:eastAsia="宋体" w:cs="宋体"/>
          <w:b w:val="0"/>
          <w:i w:val="0"/>
          <w:caps w:val="0"/>
          <w:color w:val="000000"/>
          <w:spacing w:val="0"/>
          <w:sz w:val="24"/>
          <w:szCs w:val="24"/>
          <w:lang w:val="de-DE" w:eastAsia="zh-CN"/>
        </w:rPr>
        <w:t>盖</w:t>
      </w:r>
      <w:r>
        <w:rPr>
          <w:rFonts w:hint="eastAsia" w:ascii="宋体" w:hAnsi="宋体" w:eastAsia="宋体" w:cs="宋体"/>
          <w:b w:val="0"/>
          <w:i w:val="0"/>
          <w:caps w:val="0"/>
          <w:color w:val="000000"/>
          <w:spacing w:val="0"/>
          <w:sz w:val="24"/>
          <w:szCs w:val="24"/>
          <w:lang w:val="de-DE"/>
        </w:rPr>
        <w:t>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u w:val="single"/>
          <w:lang w:val="en-US" w:eastAsia="zh-CN"/>
        </w:rPr>
      </w:pP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u w:val="none"/>
          <w:lang w:val="en-US" w:eastAsia="zh-CN"/>
        </w:rPr>
        <w:t xml:space="preserve">              </w:t>
      </w:r>
      <w:r>
        <w:rPr>
          <w:rFonts w:hint="eastAsia" w:ascii="宋体" w:hAnsi="宋体" w:eastAsia="宋体" w:cs="宋体"/>
          <w:b w:val="0"/>
          <w:i w:val="0"/>
          <w:caps w:val="0"/>
          <w:color w:val="000000"/>
          <w:spacing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eastAsia="zh-CN"/>
        </w:rPr>
        <w:t>授权代表（签字）</w:t>
      </w:r>
      <w:r>
        <w:rPr>
          <w:rFonts w:hint="eastAsia" w:ascii="宋体" w:hAnsi="宋体" w:eastAsia="宋体" w:cs="宋体"/>
          <w:b w:val="0"/>
          <w:i w:val="0"/>
          <w:caps w:val="0"/>
          <w:color w:val="000000"/>
          <w:spacing w:val="0"/>
          <w:sz w:val="24"/>
          <w:szCs w:val="24"/>
          <w:lang w:val="de-DE"/>
        </w:rPr>
        <w:t xml:space="preserve">：                 </w:t>
      </w:r>
      <w:r>
        <w:rPr>
          <w:rFonts w:hint="eastAsia" w:ascii="宋体" w:hAnsi="宋体" w:eastAsia="宋体" w:cs="宋体"/>
          <w:b w:val="0"/>
          <w:i w:val="0"/>
          <w:caps w:val="0"/>
          <w:color w:val="000000"/>
          <w:spacing w:val="0"/>
          <w:sz w:val="24"/>
          <w:szCs w:val="24"/>
          <w:lang w:val="de-DE" w:eastAsia="zh-CN"/>
        </w:rPr>
        <w:t>授权代表（签字）</w:t>
      </w:r>
      <w:r>
        <w:rPr>
          <w:rFonts w:hint="eastAsia" w:ascii="宋体" w:hAnsi="宋体" w:eastAsia="宋体" w:cs="宋体"/>
          <w:b w:val="0"/>
          <w:i w:val="0"/>
          <w:caps w:val="0"/>
          <w:color w:val="000000"/>
          <w:spacing w:val="0"/>
          <w:sz w:val="24"/>
          <w:szCs w:val="24"/>
          <w:lang w:val="de-D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i w:val="0"/>
          <w:caps w:val="0"/>
          <w:color w:val="000000"/>
          <w:spacing w:val="0"/>
          <w:sz w:val="24"/>
          <w:szCs w:val="24"/>
          <w:u w:val="none"/>
          <w:lang w:val="en-US" w:eastAsia="zh-CN"/>
        </w:rPr>
      </w:pP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none"/>
          <w:lang w:val="en-US" w:eastAsia="zh-CN"/>
        </w:rPr>
        <w:t xml:space="preserve">              </w:t>
      </w:r>
      <w:r>
        <w:rPr>
          <w:rFonts w:hint="eastAsia" w:ascii="宋体" w:hAnsi="宋体" w:eastAsia="宋体" w:cs="宋体"/>
          <w:b w:val="0"/>
          <w:i w:val="0"/>
          <w:caps w:val="0"/>
          <w:color w:val="000000"/>
          <w:spacing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i w:val="0"/>
          <w:caps w:val="0"/>
          <w:color w:val="000000"/>
          <w:spacing w:val="0"/>
          <w:sz w:val="24"/>
          <w:szCs w:val="24"/>
          <w:lang w:val="de-DE"/>
        </w:rPr>
      </w:pPr>
      <w:r>
        <w:rPr>
          <w:rFonts w:hint="eastAsia" w:ascii="宋体" w:hAnsi="宋体" w:eastAsia="宋体" w:cs="宋体"/>
          <w:b w:val="0"/>
          <w:i w:val="0"/>
          <w:caps w:val="0"/>
          <w:color w:val="000000"/>
          <w:spacing w:val="0"/>
          <w:sz w:val="24"/>
          <w:szCs w:val="24"/>
          <w:lang w:val="de-DE"/>
        </w:rPr>
        <w:t>签订日期：                         签订日期：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single"/>
          <w:lang w:val="en-US" w:eastAsia="zh-CN"/>
        </w:rPr>
        <w:t xml:space="preserve"> </w:t>
      </w:r>
      <w:r>
        <w:rPr>
          <w:rFonts w:hint="eastAsia" w:ascii="宋体" w:hAnsi="宋体" w:eastAsia="宋体" w:cs="宋体"/>
          <w:b w:val="0"/>
          <w:i w:val="0"/>
          <w:caps w:val="0"/>
          <w:color w:val="000000"/>
          <w:spacing w:val="0"/>
          <w:sz w:val="24"/>
          <w:szCs w:val="24"/>
          <w:u w:val="single"/>
          <w:lang w:val="de-DE" w:eastAsia="zh-CN"/>
        </w:rPr>
        <w:t>年</w:t>
      </w: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single"/>
          <w:lang w:val="de-DE" w:eastAsia="zh-CN"/>
        </w:rPr>
        <w:t>月</w:t>
      </w:r>
      <w:r>
        <w:rPr>
          <w:rFonts w:hint="eastAsia" w:ascii="宋体" w:hAnsi="宋体" w:eastAsia="宋体" w:cs="宋体"/>
          <w:b w:val="0"/>
          <w:i w:val="0"/>
          <w:caps w:val="0"/>
          <w:color w:val="000000"/>
          <w:spacing w:val="0"/>
          <w:sz w:val="24"/>
          <w:szCs w:val="24"/>
          <w:u w:val="single"/>
          <w:lang w:val="de-DE"/>
        </w:rPr>
        <w:t xml:space="preserve">     </w:t>
      </w:r>
      <w:r>
        <w:rPr>
          <w:rFonts w:hint="eastAsia" w:ascii="宋体" w:hAnsi="宋体" w:eastAsia="宋体" w:cs="宋体"/>
          <w:b w:val="0"/>
          <w:i w:val="0"/>
          <w:caps w:val="0"/>
          <w:color w:val="000000"/>
          <w:spacing w:val="0"/>
          <w:sz w:val="24"/>
          <w:szCs w:val="24"/>
          <w:u w:val="single"/>
          <w:lang w:val="de-DE" w:eastAsia="zh-CN"/>
        </w:rPr>
        <w:t>日</w:t>
      </w:r>
      <w:r>
        <w:rPr>
          <w:rFonts w:hint="eastAsia" w:ascii="宋体" w:hAnsi="宋体" w:eastAsia="宋体" w:cs="宋体"/>
          <w:b w:val="0"/>
          <w:i w:val="0"/>
          <w:caps w:val="0"/>
          <w:color w:val="000000"/>
          <w:spacing w:val="0"/>
          <w:sz w:val="24"/>
          <w:szCs w:val="24"/>
          <w:u w:val="none"/>
          <w:lang w:val="en-US" w:eastAsia="zh-CN"/>
        </w:rPr>
        <w:t xml:space="preserve">              </w:t>
      </w:r>
      <w:r>
        <w:rPr>
          <w:rFonts w:hint="eastAsia" w:ascii="宋体" w:hAnsi="宋体" w:eastAsia="宋体" w:cs="宋体"/>
          <w:b w:val="0"/>
          <w:i w:val="0"/>
          <w:caps w:val="0"/>
          <w:color w:val="000000"/>
          <w:spacing w:val="0"/>
          <w:sz w:val="24"/>
          <w:szCs w:val="24"/>
          <w:u w:val="single"/>
          <w:lang w:val="en-US" w:eastAsia="zh-CN"/>
        </w:rPr>
        <w:t xml:space="preserve">     年     月     日</w:t>
      </w:r>
      <w:r>
        <w:rPr>
          <w:rFonts w:hint="eastAsia" w:ascii="宋体" w:hAnsi="宋体" w:eastAsia="宋体" w:cs="宋体"/>
          <w:b w:val="0"/>
          <w:i w:val="0"/>
          <w:caps w:val="0"/>
          <w:color w:val="000000"/>
          <w:spacing w:val="0"/>
          <w:sz w:val="24"/>
          <w:szCs w:val="24"/>
          <w:u w:val="none"/>
          <w:lang w:val="en-US" w:eastAsia="zh-CN"/>
        </w:rPr>
        <w:t xml:space="preserve"> </w:t>
      </w:r>
    </w:p>
    <w:p>
      <w:pPr>
        <w:pageBreakBefore w:val="0"/>
        <w:widowControl w:val="0"/>
        <w:kinsoku/>
        <w:wordWrap/>
        <w:overflowPunct/>
        <w:topLinePunct w:val="0"/>
        <w:autoSpaceDE/>
        <w:autoSpaceDN/>
        <w:bidi w:val="0"/>
        <w:adjustRightInd/>
        <w:snapToGrid/>
        <w:spacing w:line="360" w:lineRule="auto"/>
        <w:textAlignment w:val="auto"/>
      </w:pPr>
    </w:p>
    <w:sectPr>
      <w:headerReference r:id="rId3" w:type="default"/>
      <w:footerReference r:id="rId4" w:type="default"/>
      <w:pgSz w:w="11906" w:h="16838" w:orient="landscape"/>
      <w:pgMar w:top="1603" w:right="1440" w:bottom="1375" w:left="1440" w:header="1271" w:footer="992" w:gutter="0"/>
      <w:pgNumType w:fmt="decimal" w:start="1"/>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1080"/>
      <w:rPr>
        <w:rFonts w:hint="eastAsia" w:ascii="华文细黑" w:hAnsi="华文细黑" w:eastAsia="华文细黑"/>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12</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rPr>
        <w:rFonts w:hint="default" w:eastAsia="宋体"/>
        <w:sz w:val="24"/>
        <w:szCs w:val="24"/>
        <w:u w:val="single"/>
        <w:lang w:val="en-US" w:eastAsia="zh-CN"/>
      </w:rPr>
    </w:pPr>
    <w:r>
      <w:rPr>
        <w:rFonts w:hint="eastAsia"/>
        <w:sz w:val="24"/>
        <w:szCs w:val="24"/>
        <w:lang w:eastAsia="zh-CN"/>
      </w:rPr>
      <w:t>合同编号：</w:t>
    </w:r>
    <w:r>
      <w:rPr>
        <w:rFonts w:hint="eastAsia"/>
        <w:sz w:val="24"/>
        <w:szCs w:val="24"/>
        <w:u w:val="single"/>
        <w:lang w:val="en-US" w:eastAsia="zh-CN"/>
      </w:rPr>
      <w:t xml:space="preserve">               </w:t>
    </w:r>
  </w:p>
  <w:p>
    <w:pPr>
      <w:pStyle w:val="4"/>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95873"/>
    <w:multiLevelType w:val="multilevel"/>
    <w:tmpl w:val="0C195873"/>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4A71112"/>
    <w:multiLevelType w:val="multilevel"/>
    <w:tmpl w:val="14A71112"/>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91D2C03"/>
    <w:multiLevelType w:val="multilevel"/>
    <w:tmpl w:val="191D2C03"/>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BDF7D35"/>
    <w:multiLevelType w:val="multilevel"/>
    <w:tmpl w:val="4BDF7D3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7215600F"/>
    <w:multiLevelType w:val="multilevel"/>
    <w:tmpl w:val="7215600F"/>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AA009E"/>
    <w:rsid w:val="04AA009E"/>
    <w:rsid w:val="119B2477"/>
    <w:rsid w:val="41C30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font41"/>
    <w:qFormat/>
    <w:uiPriority w:val="0"/>
    <w:rPr>
      <w:rFonts w:hint="eastAsia" w:ascii="宋体" w:hAnsi="宋体" w:eastAsia="宋体" w:cs="宋体"/>
      <w:color w:val="000000"/>
      <w:sz w:val="18"/>
      <w:szCs w:val="18"/>
      <w:u w:val="none"/>
    </w:rPr>
  </w:style>
  <w:style w:type="table" w:customStyle="1" w:styleId="9">
    <w:name w:val="网格型浅色1"/>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2020-01-09T10:13:00Z</dcterms:created>
  <dc:creator>A</dc:creator>
  <cp:lastModifiedBy>A</cp:lastModifiedBy>
  <dcterms:modified xsi:type="dcterms:W3CDTF">2020-01-09T12:32:04Z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